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A2D7" w14:textId="77777777" w:rsidR="00B133F1" w:rsidRDefault="00246F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Evaluating the sensitivity of </w:t>
      </w:r>
      <w:r>
        <w:rPr>
          <w:rFonts w:ascii="Times New Roman" w:eastAsia="Times New Roman" w:hAnsi="Times New Roman" w:cs="Times New Roman"/>
          <w:i/>
          <w:sz w:val="24"/>
          <w:szCs w:val="24"/>
        </w:rPr>
        <w:t xml:space="preserve">Mycobacterium tuberculosis </w:t>
      </w:r>
      <w:r>
        <w:rPr>
          <w:rFonts w:ascii="Times New Roman" w:eastAsia="Times New Roman" w:hAnsi="Times New Roman" w:cs="Times New Roman"/>
          <w:sz w:val="24"/>
          <w:szCs w:val="24"/>
        </w:rPr>
        <w:t>to biotin deprivation using regulated gene expression</w:t>
      </w:r>
    </w:p>
    <w:p w14:paraId="0943EE32" w14:textId="77777777" w:rsidR="00B133F1" w:rsidRDefault="00246F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 category:</w:t>
      </w:r>
      <w:r>
        <w:rPr>
          <w:rFonts w:ascii="Times New Roman" w:eastAsia="Times New Roman" w:hAnsi="Times New Roman" w:cs="Times New Roman"/>
          <w:sz w:val="24"/>
          <w:szCs w:val="24"/>
        </w:rPr>
        <w:t xml:space="preserve"> Medical Science, Microbiology  </w:t>
      </w:r>
    </w:p>
    <w:p w14:paraId="0E15B0B6" w14:textId="77777777" w:rsidR="00B133F1" w:rsidRDefault="00246F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KSEA membership ID number:</w:t>
      </w:r>
      <w:r>
        <w:rPr>
          <w:rFonts w:ascii="Times New Roman" w:eastAsia="Times New Roman" w:hAnsi="Times New Roman" w:cs="Times New Roman"/>
          <w:sz w:val="24"/>
          <w:szCs w:val="24"/>
        </w:rPr>
        <w:t xml:space="preserve"> 1234567</w:t>
      </w:r>
    </w:p>
    <w:p w14:paraId="7128E099" w14:textId="77777777" w:rsidR="00B133F1" w:rsidRDefault="00246F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Author:</w:t>
      </w:r>
      <w:r>
        <w:rPr>
          <w:rFonts w:ascii="Times New Roman" w:eastAsia="Times New Roman" w:hAnsi="Times New Roman" w:cs="Times New Roman"/>
          <w:sz w:val="24"/>
          <w:szCs w:val="24"/>
        </w:rPr>
        <w:t xml:space="preserve"> Sae Woong Park</w:t>
      </w:r>
    </w:p>
    <w:p w14:paraId="483D4D69" w14:textId="77777777" w:rsidR="00B133F1" w:rsidRDefault="00246F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Affiliation:</w:t>
      </w:r>
      <w:r>
        <w:rPr>
          <w:rFonts w:ascii="Times New Roman" w:eastAsia="Times New Roman" w:hAnsi="Times New Roman" w:cs="Times New Roman"/>
          <w:sz w:val="24"/>
          <w:szCs w:val="24"/>
        </w:rPr>
        <w:t xml:space="preserve"> Weill Cornell Medicine, New York, NY 10065</w:t>
      </w:r>
    </w:p>
    <w:p w14:paraId="72CF8A7C" w14:textId="77777777" w:rsidR="00B133F1" w:rsidRDefault="00B133F1">
      <w:pPr>
        <w:spacing w:line="360" w:lineRule="auto"/>
        <w:jc w:val="both"/>
        <w:rPr>
          <w:rFonts w:ascii="Times New Roman" w:eastAsia="Times New Roman" w:hAnsi="Times New Roman" w:cs="Times New Roman"/>
          <w:sz w:val="24"/>
          <w:szCs w:val="24"/>
        </w:rPr>
      </w:pPr>
    </w:p>
    <w:p w14:paraId="1F00B2FB" w14:textId="77777777" w:rsidR="00B133F1" w:rsidRDefault="00246F3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78DF0B71" w14:textId="77777777" w:rsidR="00B133F1" w:rsidRDefault="00246F3C">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Mycobacterium tuberculosis (Mtb)</w:t>
      </w:r>
      <w:r>
        <w:rPr>
          <w:rFonts w:ascii="Times New Roman" w:eastAsia="Times New Roman" w:hAnsi="Times New Roman" w:cs="Times New Roman"/>
          <w:sz w:val="24"/>
          <w:szCs w:val="24"/>
        </w:rPr>
        <w:t xml:space="preserve"> causes approximately 8 million new cases of active tuberculosis (TB) and 2 million deaths each year. Efforts to combat the TB pandemic have been hampered by the emergence of drug resistant strains of </w:t>
      </w:r>
      <w:r>
        <w:rPr>
          <w:rFonts w:ascii="Times New Roman" w:eastAsia="Times New Roman" w:hAnsi="Times New Roman" w:cs="Times New Roman"/>
          <w:i/>
          <w:sz w:val="24"/>
          <w:szCs w:val="24"/>
        </w:rPr>
        <w:t>Mtb</w:t>
      </w:r>
      <w:r>
        <w:rPr>
          <w:rFonts w:ascii="Times New Roman" w:eastAsia="Times New Roman" w:hAnsi="Times New Roman" w:cs="Times New Roman"/>
          <w:sz w:val="24"/>
          <w:szCs w:val="24"/>
        </w:rPr>
        <w:t xml:space="preserve">. TB drug development thus represents a major area of unmet medical need. </w:t>
      </w:r>
      <w:r>
        <w:rPr>
          <w:rFonts w:ascii="Times New Roman" w:eastAsia="Times New Roman" w:hAnsi="Times New Roman" w:cs="Times New Roman"/>
          <w:i/>
          <w:sz w:val="24"/>
          <w:szCs w:val="24"/>
        </w:rPr>
        <w:t>Mtb</w:t>
      </w:r>
      <w:r>
        <w:rPr>
          <w:rFonts w:ascii="Times New Roman" w:eastAsia="Times New Roman" w:hAnsi="Times New Roman" w:cs="Times New Roman"/>
          <w:sz w:val="24"/>
          <w:szCs w:val="24"/>
        </w:rPr>
        <w:t xml:space="preserve"> is shielded from the environment by a complex envelope that consists of an inner membrane, a periplasmic space, an outer membrane and a loosely attached capsule. Isoniazid (INH), ethionamide (ETH) and ethambutol (EMB) constitute three anti-tuberculosis drugs that specifically inhibit synthesis of this envelope and validate cell envelope biosynthesis as a target pathway in </w:t>
      </w:r>
      <w:r>
        <w:rPr>
          <w:rFonts w:ascii="Times New Roman" w:eastAsia="Times New Roman" w:hAnsi="Times New Roman" w:cs="Times New Roman"/>
          <w:i/>
          <w:sz w:val="24"/>
          <w:szCs w:val="24"/>
        </w:rPr>
        <w:t>Mtb</w:t>
      </w:r>
      <w:r>
        <w:rPr>
          <w:rFonts w:ascii="Times New Roman" w:eastAsia="Times New Roman" w:hAnsi="Times New Roman" w:cs="Times New Roman"/>
          <w:sz w:val="24"/>
          <w:szCs w:val="24"/>
        </w:rPr>
        <w:t>.</w:t>
      </w:r>
    </w:p>
    <w:p w14:paraId="1FC6DA1A" w14:textId="77777777" w:rsidR="00B133F1" w:rsidRDefault="00246F3C">
      <w:pPr>
        <w:spacing w:before="240" w:after="240" w:line="360" w:lineRule="auto"/>
        <w:jc w:val="both"/>
        <w:rPr>
          <w:rFonts w:ascii="Times New Roman" w:eastAsia="Times New Roman" w:hAnsi="Times New Roman" w:cs="Times New Roman"/>
          <w:sz w:val="24"/>
          <w:szCs w:val="24"/>
        </w:rPr>
      </w:pPr>
      <w:bookmarkStart w:id="0" w:name="_heading=h.qh9lqcn9ota8" w:colFirst="0" w:colLast="0"/>
      <w:bookmarkEnd w:id="0"/>
      <w:r>
        <w:rPr>
          <w:rFonts w:ascii="Times New Roman" w:eastAsia="Times New Roman" w:hAnsi="Times New Roman" w:cs="Times New Roman"/>
          <w:sz w:val="24"/>
          <w:szCs w:val="24"/>
        </w:rPr>
        <w:t xml:space="preserve">Biotin is an essential cofactor required for synthesis of the fatty acid component of </w:t>
      </w:r>
      <w:proofErr w:type="spellStart"/>
      <w:r>
        <w:rPr>
          <w:rFonts w:ascii="Times New Roman" w:eastAsia="Times New Roman" w:hAnsi="Times New Roman" w:cs="Times New Roman"/>
          <w:i/>
          <w:sz w:val="24"/>
          <w:szCs w:val="24"/>
        </w:rPr>
        <w:t>Mtb</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w:t>
      </w:r>
      <w:proofErr w:type="spellEnd"/>
      <w:r>
        <w:rPr>
          <w:rFonts w:ascii="Times New Roman" w:eastAsia="Times New Roman" w:hAnsi="Times New Roman" w:cs="Times New Roman"/>
          <w:sz w:val="24"/>
          <w:szCs w:val="24"/>
        </w:rPr>
        <w:t xml:space="preserve"> cell envelope and is synthesized from pimeloyl-CoA via a pathway consisting of four enzymes, </w:t>
      </w:r>
      <w:proofErr w:type="spellStart"/>
      <w:r>
        <w:rPr>
          <w:rFonts w:ascii="Times New Roman" w:eastAsia="Times New Roman" w:hAnsi="Times New Roman" w:cs="Times New Roman"/>
          <w:sz w:val="24"/>
          <w:szCs w:val="24"/>
        </w:rPr>
        <w:t>BioF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BioD</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BioB</w:t>
      </w:r>
      <w:proofErr w:type="spellEnd"/>
      <w:r>
        <w:rPr>
          <w:rFonts w:ascii="Times New Roman" w:eastAsia="Times New Roman" w:hAnsi="Times New Roman" w:cs="Times New Roman"/>
          <w:sz w:val="24"/>
          <w:szCs w:val="24"/>
        </w:rPr>
        <w:t xml:space="preserve">. Bioactivity of biotin further requires covalent attachment to an enzyme, via a biotin ligase. While the source of pimeloyl-CoA in </w:t>
      </w:r>
      <w:r>
        <w:rPr>
          <w:rFonts w:ascii="Times New Roman" w:eastAsia="Times New Roman" w:hAnsi="Times New Roman" w:cs="Times New Roman"/>
          <w:i/>
          <w:sz w:val="24"/>
          <w:szCs w:val="24"/>
        </w:rPr>
        <w:t>Mtb</w:t>
      </w:r>
      <w:r>
        <w:rPr>
          <w:rFonts w:ascii="Times New Roman" w:eastAsia="Times New Roman" w:hAnsi="Times New Roman" w:cs="Times New Roman"/>
          <w:sz w:val="24"/>
          <w:szCs w:val="24"/>
        </w:rPr>
        <w:t xml:space="preserve"> is unknown, mammalian cells lack the enzymes to synthesize biotin </w:t>
      </w:r>
      <w:r>
        <w:rPr>
          <w:rFonts w:ascii="Times New Roman" w:eastAsia="Times New Roman" w:hAnsi="Times New Roman" w:cs="Times New Roman"/>
          <w:i/>
          <w:sz w:val="24"/>
          <w:szCs w:val="24"/>
        </w:rPr>
        <w:t>de novo</w:t>
      </w:r>
      <w:r>
        <w:rPr>
          <w:rFonts w:ascii="Times New Roman" w:eastAsia="Times New Roman" w:hAnsi="Times New Roman" w:cs="Times New Roman"/>
          <w:sz w:val="24"/>
          <w:szCs w:val="24"/>
        </w:rPr>
        <w:t xml:space="preserve"> and must acquire it from external sources. Based on this presumed essentiality and intrinsic bacterial specificity, we sought to validate biotin biosynthesis as a potential target for the development of new antibiotics.</w:t>
      </w:r>
    </w:p>
    <w:p w14:paraId="2AA9C83A" w14:textId="77777777" w:rsidR="00B133F1" w:rsidRDefault="00246F3C">
      <w:pPr>
        <w:spacing w:line="360" w:lineRule="auto"/>
        <w:jc w:val="both"/>
        <w:rPr>
          <w:rFonts w:ascii="Times New Roman" w:eastAsia="Times New Roman" w:hAnsi="Times New Roman" w:cs="Times New Roman"/>
          <w:sz w:val="24"/>
          <w:szCs w:val="24"/>
        </w:rPr>
      </w:pPr>
      <w:bookmarkStart w:id="1" w:name="_heading=h.useww453ibkj" w:colFirst="0" w:colLast="0"/>
      <w:bookmarkEnd w:id="1"/>
      <w:r>
        <w:rPr>
          <w:rFonts w:ascii="Times New Roman" w:eastAsia="Times New Roman" w:hAnsi="Times New Roman" w:cs="Times New Roman"/>
          <w:sz w:val="24"/>
          <w:szCs w:val="24"/>
        </w:rPr>
        <w:t xml:space="preserve">That efficient inhibition of biotin synthesis by a small molecule can be achieved was demonstrated by the ability of </w:t>
      </w:r>
      <w:proofErr w:type="spellStart"/>
      <w:r>
        <w:rPr>
          <w:rFonts w:ascii="Times New Roman" w:eastAsia="Times New Roman" w:hAnsi="Times New Roman" w:cs="Times New Roman"/>
          <w:sz w:val="24"/>
          <w:szCs w:val="24"/>
        </w:rPr>
        <w:t>amiclenomycin</w:t>
      </w:r>
      <w:proofErr w:type="spellEnd"/>
      <w:r>
        <w:rPr>
          <w:rFonts w:ascii="Times New Roman" w:eastAsia="Times New Roman" w:hAnsi="Times New Roman" w:cs="Times New Roman"/>
          <w:sz w:val="24"/>
          <w:szCs w:val="24"/>
        </w:rPr>
        <w:t xml:space="preserve">, a natural product inhibitor of </w:t>
      </w:r>
      <w:proofErr w:type="spellStart"/>
      <w:r>
        <w:rPr>
          <w:rFonts w:ascii="Times New Roman" w:eastAsia="Times New Roman" w:hAnsi="Times New Roman" w:cs="Times New Roman"/>
          <w:sz w:val="24"/>
          <w:szCs w:val="24"/>
        </w:rPr>
        <w:t>BioA</w:t>
      </w:r>
      <w:proofErr w:type="spellEnd"/>
      <w:r>
        <w:rPr>
          <w:rFonts w:ascii="Times New Roman" w:eastAsia="Times New Roman" w:hAnsi="Times New Roman" w:cs="Times New Roman"/>
          <w:sz w:val="24"/>
          <w:szCs w:val="24"/>
        </w:rPr>
        <w:t xml:space="preserve"> isolated from </w:t>
      </w:r>
      <w:r>
        <w:rPr>
          <w:rFonts w:ascii="Times New Roman" w:eastAsia="Times New Roman" w:hAnsi="Times New Roman" w:cs="Times New Roman"/>
          <w:i/>
          <w:sz w:val="24"/>
          <w:szCs w:val="24"/>
        </w:rPr>
        <w:t xml:space="preserve">Streptomyces </w:t>
      </w:r>
      <w:proofErr w:type="spellStart"/>
      <w:r>
        <w:rPr>
          <w:rFonts w:ascii="Times New Roman" w:eastAsia="Times New Roman" w:hAnsi="Times New Roman" w:cs="Times New Roman"/>
          <w:i/>
          <w:sz w:val="24"/>
          <w:szCs w:val="24"/>
        </w:rPr>
        <w:t>lavendulae</w:t>
      </w:r>
      <w:proofErr w:type="spellEnd"/>
      <w:r>
        <w:rPr>
          <w:rFonts w:ascii="Times New Roman" w:eastAsia="Times New Roman" w:hAnsi="Times New Roman" w:cs="Times New Roman"/>
          <w:sz w:val="24"/>
          <w:szCs w:val="24"/>
        </w:rPr>
        <w:t xml:space="preserve">, to prevent </w:t>
      </w:r>
      <w:r>
        <w:rPr>
          <w:rFonts w:ascii="Times New Roman" w:eastAsia="Times New Roman" w:hAnsi="Times New Roman" w:cs="Times New Roman"/>
          <w:i/>
          <w:sz w:val="24"/>
          <w:szCs w:val="24"/>
        </w:rPr>
        <w:t>in vitro</w:t>
      </w:r>
      <w:r>
        <w:rPr>
          <w:rFonts w:ascii="Times New Roman" w:eastAsia="Times New Roman" w:hAnsi="Times New Roman" w:cs="Times New Roman"/>
          <w:sz w:val="24"/>
          <w:szCs w:val="24"/>
        </w:rPr>
        <w:t xml:space="preserve"> growth of </w:t>
      </w:r>
      <w:r>
        <w:rPr>
          <w:rFonts w:ascii="Times New Roman" w:eastAsia="Times New Roman" w:hAnsi="Times New Roman" w:cs="Times New Roman"/>
          <w:i/>
          <w:sz w:val="24"/>
          <w:szCs w:val="24"/>
        </w:rPr>
        <w:t>Mtb</w:t>
      </w:r>
      <w:r>
        <w:rPr>
          <w:rFonts w:ascii="Times New Roman" w:eastAsia="Times New Roman" w:hAnsi="Times New Roman" w:cs="Times New Roman"/>
          <w:sz w:val="24"/>
          <w:szCs w:val="24"/>
        </w:rPr>
        <w:t xml:space="preserve"> in media lacking exogenous biotin. Treatment of mice with </w:t>
      </w:r>
      <w:proofErr w:type="spellStart"/>
      <w:r>
        <w:rPr>
          <w:rFonts w:ascii="Times New Roman" w:eastAsia="Times New Roman" w:hAnsi="Times New Roman" w:cs="Times New Roman"/>
          <w:sz w:val="24"/>
          <w:szCs w:val="24"/>
        </w:rPr>
        <w:t>amiclenomycin</w:t>
      </w:r>
      <w:proofErr w:type="spellEnd"/>
      <w:r>
        <w:rPr>
          <w:rFonts w:ascii="Times New Roman" w:eastAsia="Times New Roman" w:hAnsi="Times New Roman" w:cs="Times New Roman"/>
          <w:sz w:val="24"/>
          <w:szCs w:val="24"/>
        </w:rPr>
        <w:t xml:space="preserve"> had no impact on infection with </w:t>
      </w:r>
      <w:r>
        <w:rPr>
          <w:rFonts w:ascii="Times New Roman" w:eastAsia="Times New Roman" w:hAnsi="Times New Roman" w:cs="Times New Roman"/>
          <w:i/>
          <w:sz w:val="24"/>
          <w:szCs w:val="24"/>
        </w:rPr>
        <w:t>Mtb</w:t>
      </w:r>
      <w:r>
        <w:rPr>
          <w:rFonts w:ascii="Times New Roman" w:eastAsia="Times New Roman" w:hAnsi="Times New Roman" w:cs="Times New Roman"/>
          <w:sz w:val="24"/>
          <w:szCs w:val="24"/>
        </w:rPr>
        <w:t xml:space="preserve">, which was interpreted as evidence </w:t>
      </w:r>
      <w:r>
        <w:rPr>
          <w:rFonts w:ascii="Times New Roman" w:eastAsia="Times New Roman" w:hAnsi="Times New Roman" w:cs="Times New Roman"/>
          <w:sz w:val="24"/>
          <w:szCs w:val="24"/>
        </w:rPr>
        <w:lastRenderedPageBreak/>
        <w:t xml:space="preserve">that </w:t>
      </w:r>
      <w:r>
        <w:rPr>
          <w:rFonts w:ascii="Times New Roman" w:eastAsia="Times New Roman" w:hAnsi="Times New Roman" w:cs="Times New Roman"/>
          <w:i/>
          <w:sz w:val="24"/>
          <w:szCs w:val="24"/>
        </w:rPr>
        <w:t>Mtb</w:t>
      </w:r>
      <w:r>
        <w:rPr>
          <w:rFonts w:ascii="Times New Roman" w:eastAsia="Times New Roman" w:hAnsi="Times New Roman" w:cs="Times New Roman"/>
          <w:sz w:val="24"/>
          <w:szCs w:val="24"/>
        </w:rPr>
        <w:t xml:space="preserve"> does not depend on biotin synthesis during infection and is instead able to scavenge this cofactor from the host. However, the lack of pharmacokinetic data showing that the organism was, in fact, exposed to the drug in these experiments temper this conclusion. In contrast, genome wide mutagenesis studies identified transposon insertion mutants of biotin synthesis genes as among the most highly attenuated mutants of </w:t>
      </w:r>
      <w:r>
        <w:rPr>
          <w:rFonts w:ascii="Times New Roman" w:eastAsia="Times New Roman" w:hAnsi="Times New Roman" w:cs="Times New Roman"/>
          <w:i/>
          <w:sz w:val="24"/>
          <w:szCs w:val="24"/>
        </w:rPr>
        <w:t>Mtb</w:t>
      </w:r>
      <w:r>
        <w:rPr>
          <w:rFonts w:ascii="Times New Roman" w:eastAsia="Times New Roman" w:hAnsi="Times New Roman" w:cs="Times New Roman"/>
          <w:sz w:val="24"/>
          <w:szCs w:val="24"/>
        </w:rPr>
        <w:t xml:space="preserve"> observed in mice, suggesting that </w:t>
      </w:r>
      <w:r>
        <w:rPr>
          <w:rFonts w:ascii="Times New Roman" w:eastAsia="Times New Roman" w:hAnsi="Times New Roman" w:cs="Times New Roman"/>
          <w:i/>
          <w:sz w:val="24"/>
          <w:szCs w:val="24"/>
        </w:rPr>
        <w:t>Mtb</w:t>
      </w:r>
      <w:r>
        <w:rPr>
          <w:rFonts w:ascii="Times New Roman" w:eastAsia="Times New Roman" w:hAnsi="Times New Roman" w:cs="Times New Roman"/>
          <w:sz w:val="24"/>
          <w:szCs w:val="24"/>
        </w:rPr>
        <w:t xml:space="preserve"> cannot access exogenous biotin in mice. Here, we constructed genetically defined </w:t>
      </w:r>
      <w:r>
        <w:rPr>
          <w:rFonts w:ascii="Times New Roman" w:eastAsia="Times New Roman" w:hAnsi="Times New Roman" w:cs="Times New Roman"/>
          <w:i/>
          <w:sz w:val="24"/>
          <w:szCs w:val="24"/>
        </w:rPr>
        <w:t xml:space="preserve">Mtb </w:t>
      </w:r>
      <w:proofErr w:type="spellStart"/>
      <w:r>
        <w:rPr>
          <w:rFonts w:ascii="Times New Roman" w:eastAsia="Times New Roman" w:hAnsi="Times New Roman" w:cs="Times New Roman"/>
          <w:i/>
          <w:sz w:val="24"/>
          <w:szCs w:val="24"/>
        </w:rPr>
        <w:t>bioA</w:t>
      </w:r>
      <w:proofErr w:type="spellEnd"/>
      <w:r>
        <w:rPr>
          <w:rFonts w:ascii="Times New Roman" w:eastAsia="Times New Roman" w:hAnsi="Times New Roman" w:cs="Times New Roman"/>
          <w:sz w:val="24"/>
          <w:szCs w:val="24"/>
        </w:rPr>
        <w:t xml:space="preserve"> mutants to determine the consequences of inhibiting biotin synthesis on growth and survival of </w:t>
      </w:r>
      <w:r>
        <w:rPr>
          <w:rFonts w:ascii="Times New Roman" w:eastAsia="Times New Roman" w:hAnsi="Times New Roman" w:cs="Times New Roman"/>
          <w:i/>
          <w:sz w:val="24"/>
          <w:szCs w:val="24"/>
        </w:rPr>
        <w:t>Mtb in vitro</w:t>
      </w:r>
      <w:r>
        <w:rPr>
          <w:rFonts w:ascii="Times New Roman" w:eastAsia="Times New Roman" w:hAnsi="Times New Roman" w:cs="Times New Roman"/>
          <w:sz w:val="24"/>
          <w:szCs w:val="24"/>
        </w:rPr>
        <w:t xml:space="preserve"> and during acute and chronic mouse infections.</w:t>
      </w:r>
    </w:p>
    <w:p w14:paraId="4E731610" w14:textId="77777777" w:rsidR="00B133F1" w:rsidRDefault="00246F3C">
      <w:pPr>
        <w:spacing w:line="360" w:lineRule="auto"/>
        <w:jc w:val="both"/>
        <w:rPr>
          <w:rFonts w:ascii="Times New Roman" w:eastAsia="Times New Roman" w:hAnsi="Times New Roman" w:cs="Times New Roman"/>
          <w:sz w:val="24"/>
          <w:szCs w:val="24"/>
        </w:rPr>
      </w:pPr>
      <w:bookmarkStart w:id="2" w:name="_heading=h.tzx3llrp5a7q" w:colFirst="0" w:colLast="0"/>
      <w:bookmarkEnd w:id="2"/>
      <w:r>
        <w:rPr>
          <w:rFonts w:ascii="Times New Roman" w:eastAsia="Times New Roman" w:hAnsi="Times New Roman" w:cs="Times New Roman"/>
          <w:sz w:val="24"/>
          <w:szCs w:val="24"/>
        </w:rPr>
        <w:t xml:space="preserve">We evaluated the biotin synthetic pathway of </w:t>
      </w:r>
      <w:r>
        <w:rPr>
          <w:rFonts w:ascii="Times New Roman" w:eastAsia="Times New Roman" w:hAnsi="Times New Roman" w:cs="Times New Roman"/>
          <w:i/>
          <w:sz w:val="24"/>
          <w:szCs w:val="24"/>
        </w:rPr>
        <w:t>Mtb</w:t>
      </w:r>
      <w:r>
        <w:rPr>
          <w:rFonts w:ascii="Times New Roman" w:eastAsia="Times New Roman" w:hAnsi="Times New Roman" w:cs="Times New Roman"/>
          <w:sz w:val="24"/>
          <w:szCs w:val="24"/>
        </w:rPr>
        <w:t xml:space="preserve"> as a new drug target by first generating an </w:t>
      </w:r>
      <w:r>
        <w:rPr>
          <w:rFonts w:ascii="Times New Roman" w:eastAsia="Times New Roman" w:hAnsi="Times New Roman" w:cs="Times New Roman"/>
          <w:i/>
          <w:sz w:val="24"/>
          <w:szCs w:val="24"/>
        </w:rPr>
        <w:t>Mtb</w:t>
      </w:r>
      <w:r>
        <w:rPr>
          <w:rFonts w:ascii="Times New Roman" w:eastAsia="Times New Roman" w:hAnsi="Times New Roman" w:cs="Times New Roman"/>
          <w:sz w:val="24"/>
          <w:szCs w:val="24"/>
        </w:rPr>
        <w:t xml:space="preserve"> deletion mutant, </w:t>
      </w:r>
      <w:proofErr w:type="spellStart"/>
      <w:r>
        <w:rPr>
          <w:rFonts w:ascii="Times New Roman" w:eastAsia="Times New Roman" w:hAnsi="Times New Roman" w:cs="Times New Roman"/>
          <w:i/>
          <w:sz w:val="24"/>
          <w:szCs w:val="24"/>
        </w:rPr>
        <w:t>ΔbioA</w:t>
      </w:r>
      <w:proofErr w:type="spellEnd"/>
      <w:r>
        <w:rPr>
          <w:rFonts w:ascii="Times New Roman" w:eastAsia="Times New Roman" w:hAnsi="Times New Roman" w:cs="Times New Roman"/>
          <w:sz w:val="24"/>
          <w:szCs w:val="24"/>
        </w:rPr>
        <w:t>, in which the biotin biosynthetic enzyme 7,8-diaminopelargonic acid synthase (</w:t>
      </w:r>
      <w:proofErr w:type="spellStart"/>
      <w:r>
        <w:rPr>
          <w:rFonts w:ascii="Times New Roman" w:eastAsia="Times New Roman" w:hAnsi="Times New Roman" w:cs="Times New Roman"/>
          <w:sz w:val="24"/>
          <w:szCs w:val="24"/>
        </w:rPr>
        <w:t>BioA</w:t>
      </w:r>
      <w:proofErr w:type="spellEnd"/>
      <w:r>
        <w:rPr>
          <w:rFonts w:ascii="Times New Roman" w:eastAsia="Times New Roman" w:hAnsi="Times New Roman" w:cs="Times New Roman"/>
          <w:sz w:val="24"/>
          <w:szCs w:val="24"/>
        </w:rPr>
        <w:t xml:space="preserve">) has been inactivated. This mutant grew in the presence of biotin or </w:t>
      </w:r>
      <w:r>
        <w:rPr>
          <w:rFonts w:ascii="Times New Roman" w:eastAsia="Times New Roman" w:hAnsi="Times New Roman" w:cs="Times New Roman"/>
          <w:i/>
          <w:sz w:val="24"/>
          <w:szCs w:val="24"/>
        </w:rPr>
        <w:t>des</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thiobiotin</w:t>
      </w:r>
      <w:proofErr w:type="spellEnd"/>
      <w:r>
        <w:rPr>
          <w:rFonts w:ascii="Times New Roman" w:eastAsia="Times New Roman" w:hAnsi="Times New Roman" w:cs="Times New Roman"/>
          <w:sz w:val="24"/>
          <w:szCs w:val="24"/>
        </w:rPr>
        <w:t xml:space="preserve">, but not with an intermediate of the biotin biosynthesis pathway that requires </w:t>
      </w:r>
      <w:proofErr w:type="spellStart"/>
      <w:r>
        <w:rPr>
          <w:rFonts w:ascii="Times New Roman" w:eastAsia="Times New Roman" w:hAnsi="Times New Roman" w:cs="Times New Roman"/>
          <w:sz w:val="24"/>
          <w:szCs w:val="24"/>
        </w:rPr>
        <w:t>BioA</w:t>
      </w:r>
      <w:proofErr w:type="spellEnd"/>
      <w:r>
        <w:rPr>
          <w:rFonts w:ascii="Times New Roman" w:eastAsia="Times New Roman" w:hAnsi="Times New Roman" w:cs="Times New Roman"/>
          <w:sz w:val="24"/>
          <w:szCs w:val="24"/>
        </w:rPr>
        <w:t xml:space="preserve"> to be converted into biotin. Without exogenous biotin or </w:t>
      </w:r>
      <w:r>
        <w:rPr>
          <w:rFonts w:ascii="Times New Roman" w:eastAsia="Times New Roman" w:hAnsi="Times New Roman" w:cs="Times New Roman"/>
          <w:i/>
          <w:sz w:val="24"/>
          <w:szCs w:val="24"/>
        </w:rPr>
        <w:t>des</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thiobiotin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ΔbioA</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was unable to produce biotinylated proteins, which are required for the biosynthesis of fatty acids, and thus died in biotin-free media. In biotin-free medium, </w:t>
      </w:r>
      <w:proofErr w:type="spellStart"/>
      <w:r>
        <w:rPr>
          <w:rFonts w:ascii="Times New Roman" w:eastAsia="Times New Roman" w:hAnsi="Times New Roman" w:cs="Times New Roman"/>
          <w:i/>
          <w:sz w:val="24"/>
          <w:szCs w:val="24"/>
        </w:rPr>
        <w:t>ΔbioA</w:t>
      </w:r>
      <w:proofErr w:type="spellEnd"/>
      <w:r>
        <w:rPr>
          <w:rFonts w:ascii="Times New Roman" w:eastAsia="Times New Roman" w:hAnsi="Times New Roman" w:cs="Times New Roman"/>
          <w:sz w:val="24"/>
          <w:szCs w:val="24"/>
        </w:rPr>
        <w:t xml:space="preserve"> lost viability with kinetics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those observed for an </w:t>
      </w:r>
      <w:r>
        <w:rPr>
          <w:rFonts w:ascii="Times New Roman" w:eastAsia="Times New Roman" w:hAnsi="Times New Roman" w:cs="Times New Roman"/>
          <w:i/>
          <w:sz w:val="24"/>
          <w:szCs w:val="24"/>
        </w:rPr>
        <w:t xml:space="preserve">Mtb </w:t>
      </w:r>
      <w:proofErr w:type="spellStart"/>
      <w:r>
        <w:rPr>
          <w:rFonts w:ascii="Times New Roman" w:eastAsia="Times New Roman" w:hAnsi="Times New Roman" w:cs="Times New Roman"/>
          <w:i/>
          <w:sz w:val="24"/>
          <w:szCs w:val="24"/>
        </w:rPr>
        <w:t>bioF</w:t>
      </w:r>
      <w:proofErr w:type="spellEnd"/>
      <w:r>
        <w:rPr>
          <w:rFonts w:ascii="Times New Roman" w:eastAsia="Times New Roman" w:hAnsi="Times New Roman" w:cs="Times New Roman"/>
          <w:sz w:val="24"/>
          <w:szCs w:val="24"/>
        </w:rPr>
        <w:t xml:space="preserve"> mutant. The </w:t>
      </w:r>
      <w:r>
        <w:rPr>
          <w:rFonts w:ascii="Times New Roman" w:eastAsia="Times New Roman" w:hAnsi="Times New Roman" w:cs="Times New Roman"/>
          <w:i/>
          <w:sz w:val="24"/>
          <w:szCs w:val="24"/>
        </w:rPr>
        <w:t>in vitro</w:t>
      </w:r>
      <w:r>
        <w:rPr>
          <w:rFonts w:ascii="Times New Roman" w:eastAsia="Times New Roman" w:hAnsi="Times New Roman" w:cs="Times New Roman"/>
          <w:sz w:val="24"/>
          <w:szCs w:val="24"/>
        </w:rPr>
        <w:t xml:space="preserve"> growth defect of </w:t>
      </w:r>
      <w:proofErr w:type="spellStart"/>
      <w:r>
        <w:rPr>
          <w:rFonts w:ascii="Times New Roman" w:eastAsia="Times New Roman" w:hAnsi="Times New Roman" w:cs="Times New Roman"/>
          <w:i/>
          <w:sz w:val="24"/>
          <w:szCs w:val="24"/>
        </w:rPr>
        <w:t>ΔbioA</w:t>
      </w:r>
      <w:proofErr w:type="spellEnd"/>
      <w:r>
        <w:rPr>
          <w:rFonts w:ascii="Times New Roman" w:eastAsia="Times New Roman" w:hAnsi="Times New Roman" w:cs="Times New Roman"/>
          <w:sz w:val="24"/>
          <w:szCs w:val="24"/>
        </w:rPr>
        <w:t xml:space="preserve"> could be complemented with biotin at concentrations as low as 50 </w:t>
      </w:r>
      <w:proofErr w:type="spellStart"/>
      <w:proofErr w:type="gramStart"/>
      <w:r>
        <w:rPr>
          <w:rFonts w:ascii="Times New Roman" w:eastAsia="Times New Roman" w:hAnsi="Times New Roman" w:cs="Times New Roman"/>
          <w:sz w:val="24"/>
          <w:szCs w:val="24"/>
        </w:rPr>
        <w:t>nM</w:t>
      </w:r>
      <w:proofErr w:type="spellEnd"/>
      <w:r>
        <w:rPr>
          <w:rFonts w:ascii="Times New Roman" w:eastAsia="Times New Roman" w:hAnsi="Times New Roman" w:cs="Times New Roman"/>
          <w:sz w:val="24"/>
          <w:szCs w:val="24"/>
        </w:rPr>
        <w:t xml:space="preserve">  which</w:t>
      </w:r>
      <w:proofErr w:type="gramEnd"/>
      <w:r>
        <w:rPr>
          <w:rFonts w:ascii="Times New Roman" w:eastAsia="Times New Roman" w:hAnsi="Times New Roman" w:cs="Times New Roman"/>
          <w:sz w:val="24"/>
          <w:szCs w:val="24"/>
        </w:rPr>
        <w:t xml:space="preserve"> is at least 25-times higher than the biotin concentration in human serum. Growth of </w:t>
      </w:r>
      <w:proofErr w:type="spellStart"/>
      <w:r>
        <w:rPr>
          <w:rFonts w:ascii="Times New Roman" w:eastAsia="Times New Roman" w:hAnsi="Times New Roman" w:cs="Times New Roman"/>
          <w:i/>
          <w:sz w:val="24"/>
          <w:szCs w:val="24"/>
        </w:rPr>
        <w:t>ΔbioA</w:t>
      </w:r>
      <w:proofErr w:type="spellEnd"/>
      <w:r>
        <w:rPr>
          <w:rFonts w:ascii="Times New Roman" w:eastAsia="Times New Roman" w:hAnsi="Times New Roman" w:cs="Times New Roman"/>
          <w:sz w:val="24"/>
          <w:szCs w:val="24"/>
        </w:rPr>
        <w:t xml:space="preserve"> was also rescued with DTB, but not using KAPA as a substrate since conversion of KAPA to biotin is </w:t>
      </w:r>
      <w:proofErr w:type="spellStart"/>
      <w:r>
        <w:rPr>
          <w:rFonts w:ascii="Times New Roman" w:eastAsia="Times New Roman" w:hAnsi="Times New Roman" w:cs="Times New Roman"/>
          <w:sz w:val="24"/>
          <w:szCs w:val="24"/>
        </w:rPr>
        <w:t>BioA</w:t>
      </w:r>
      <w:proofErr w:type="spellEnd"/>
      <w:r>
        <w:rPr>
          <w:rFonts w:ascii="Times New Roman" w:eastAsia="Times New Roman" w:hAnsi="Times New Roman" w:cs="Times New Roman"/>
          <w:sz w:val="24"/>
          <w:szCs w:val="24"/>
        </w:rPr>
        <w:t xml:space="preserve">-dependent. Following aerosol infection, </w:t>
      </w:r>
      <w:proofErr w:type="spellStart"/>
      <w:r>
        <w:rPr>
          <w:rFonts w:ascii="Times New Roman" w:eastAsia="Times New Roman" w:hAnsi="Times New Roman" w:cs="Times New Roman"/>
          <w:i/>
          <w:sz w:val="24"/>
          <w:szCs w:val="24"/>
        </w:rPr>
        <w:t>ΔbioA</w:t>
      </w:r>
      <w:proofErr w:type="spellEnd"/>
      <w:r>
        <w:rPr>
          <w:rFonts w:ascii="Times New Roman" w:eastAsia="Times New Roman" w:hAnsi="Times New Roman" w:cs="Times New Roman"/>
          <w:sz w:val="24"/>
          <w:szCs w:val="24"/>
        </w:rPr>
        <w:t xml:space="preserve"> failed to replicate in mice and was cleared from the lungs of several mice during the first 8 weeks of the infection (Figure 1).</w:t>
      </w:r>
    </w:p>
    <w:p w14:paraId="3022381C" w14:textId="032EFFC1" w:rsidR="00B133F1" w:rsidRDefault="00246F3C">
      <w:pPr>
        <w:spacing w:line="360" w:lineRule="auto"/>
        <w:jc w:val="both"/>
        <w:rPr>
          <w:rFonts w:ascii="Times New Roman" w:eastAsia="Times New Roman" w:hAnsi="Times New Roman" w:cs="Times New Roman"/>
          <w:sz w:val="24"/>
          <w:szCs w:val="24"/>
        </w:rPr>
      </w:pPr>
      <w:bookmarkStart w:id="3" w:name="_heading=h.xewa6mg20d40" w:colFirst="0" w:colLast="0"/>
      <w:bookmarkEnd w:id="3"/>
      <w:r>
        <w:rPr>
          <w:rFonts w:ascii="Times New Roman" w:eastAsia="Times New Roman" w:hAnsi="Times New Roman" w:cs="Times New Roman"/>
          <w:sz w:val="24"/>
          <w:szCs w:val="24"/>
        </w:rPr>
        <w:t xml:space="preserve">Using a regulatable promoter and different ribosome binding sequences we next constructed tightly controlled </w:t>
      </w:r>
      <w:proofErr w:type="spellStart"/>
      <w:r>
        <w:rPr>
          <w:rFonts w:ascii="Times New Roman" w:eastAsia="Times New Roman" w:hAnsi="Times New Roman" w:cs="Times New Roman"/>
          <w:sz w:val="24"/>
          <w:szCs w:val="24"/>
        </w:rPr>
        <w:t>TetON</w:t>
      </w:r>
      <w:proofErr w:type="spellEnd"/>
      <w:r>
        <w:rPr>
          <w:rFonts w:ascii="Times New Roman" w:eastAsia="Times New Roman" w:hAnsi="Times New Roman" w:cs="Times New Roman"/>
          <w:sz w:val="24"/>
          <w:szCs w:val="24"/>
        </w:rPr>
        <w:t xml:space="preserve"> mutants, in which expression of </w:t>
      </w:r>
      <w:proofErr w:type="spellStart"/>
      <w:r>
        <w:rPr>
          <w:rFonts w:ascii="Times New Roman" w:eastAsia="Times New Roman" w:hAnsi="Times New Roman" w:cs="Times New Roman"/>
          <w:sz w:val="24"/>
          <w:szCs w:val="24"/>
        </w:rPr>
        <w:t>BioA</w:t>
      </w:r>
      <w:proofErr w:type="spellEnd"/>
      <w:r>
        <w:rPr>
          <w:rFonts w:ascii="Times New Roman" w:eastAsia="Times New Roman" w:hAnsi="Times New Roman" w:cs="Times New Roman"/>
          <w:sz w:val="24"/>
          <w:szCs w:val="24"/>
        </w:rPr>
        <w:t xml:space="preserve"> could be induced with </w:t>
      </w:r>
      <w:proofErr w:type="gramStart"/>
      <w:r>
        <w:rPr>
          <w:rFonts w:ascii="Times New Roman" w:eastAsia="Times New Roman" w:hAnsi="Times New Roman" w:cs="Times New Roman"/>
          <w:sz w:val="24"/>
          <w:szCs w:val="24"/>
        </w:rPr>
        <w:t>tetracyclines, but</w:t>
      </w:r>
      <w:proofErr w:type="gramEnd"/>
      <w:r>
        <w:rPr>
          <w:rFonts w:ascii="Times New Roman" w:eastAsia="Times New Roman" w:hAnsi="Times New Roman" w:cs="Times New Roman"/>
          <w:sz w:val="24"/>
          <w:szCs w:val="24"/>
        </w:rPr>
        <w:t xml:space="preserve"> was inhibited in their absence. Characterization of these mutants during infections demonstrated that </w:t>
      </w:r>
      <w:r>
        <w:rPr>
          <w:rFonts w:ascii="Times New Roman" w:eastAsia="Times New Roman" w:hAnsi="Times New Roman" w:cs="Times New Roman"/>
          <w:i/>
          <w:sz w:val="24"/>
          <w:szCs w:val="24"/>
        </w:rPr>
        <w:t>de novo</w:t>
      </w:r>
      <w:r>
        <w:rPr>
          <w:rFonts w:ascii="Times New Roman" w:eastAsia="Times New Roman" w:hAnsi="Times New Roman" w:cs="Times New Roman"/>
          <w:sz w:val="24"/>
          <w:szCs w:val="24"/>
        </w:rPr>
        <w:t xml:space="preserve"> biotin synthesis is not only required to establish infections but also to maintain bacterial persistence. Inhibition of </w:t>
      </w:r>
      <w:proofErr w:type="spellStart"/>
      <w:r>
        <w:rPr>
          <w:rFonts w:ascii="Times New Roman" w:eastAsia="Times New Roman" w:hAnsi="Times New Roman" w:cs="Times New Roman"/>
          <w:sz w:val="24"/>
          <w:szCs w:val="24"/>
        </w:rPr>
        <w:t>BioA</w:t>
      </w:r>
      <w:proofErr w:type="spellEnd"/>
      <w:r>
        <w:rPr>
          <w:rFonts w:ascii="Times New Roman" w:eastAsia="Times New Roman" w:hAnsi="Times New Roman" w:cs="Times New Roman"/>
          <w:sz w:val="24"/>
          <w:szCs w:val="24"/>
        </w:rPr>
        <w:t xml:space="preserve"> or other enzymes of the biotin biosynthesis pathways could thus be used to kill </w:t>
      </w:r>
      <w:r>
        <w:rPr>
          <w:rFonts w:ascii="Times New Roman" w:eastAsia="Times New Roman" w:hAnsi="Times New Roman" w:cs="Times New Roman"/>
          <w:i/>
          <w:sz w:val="24"/>
          <w:szCs w:val="24"/>
        </w:rPr>
        <w:t>Mtb</w:t>
      </w:r>
      <w:r>
        <w:rPr>
          <w:rFonts w:ascii="Times New Roman" w:eastAsia="Times New Roman" w:hAnsi="Times New Roman" w:cs="Times New Roman"/>
          <w:sz w:val="24"/>
          <w:szCs w:val="24"/>
        </w:rPr>
        <w:t xml:space="preserve"> during both acute and chronic infections. Biochemical and immunological analyses of different </w:t>
      </w:r>
      <w:r>
        <w:rPr>
          <w:rFonts w:ascii="Times New Roman" w:eastAsia="Times New Roman" w:hAnsi="Times New Roman" w:cs="Times New Roman"/>
          <w:i/>
          <w:sz w:val="24"/>
          <w:szCs w:val="24"/>
        </w:rPr>
        <w:t>Mtb</w:t>
      </w:r>
      <w:r>
        <w:rPr>
          <w:rFonts w:ascii="Times New Roman" w:eastAsia="Times New Roman" w:hAnsi="Times New Roman" w:cs="Times New Roman"/>
          <w:sz w:val="24"/>
          <w:szCs w:val="24"/>
        </w:rPr>
        <w:t xml:space="preserve"> mutants indicate that drugs targeting </w:t>
      </w:r>
      <w:proofErr w:type="spellStart"/>
      <w:r>
        <w:rPr>
          <w:rFonts w:ascii="Times New Roman" w:eastAsia="Times New Roman" w:hAnsi="Times New Roman" w:cs="Times New Roman"/>
          <w:sz w:val="24"/>
          <w:szCs w:val="24"/>
        </w:rPr>
        <w:t>BioA</w:t>
      </w:r>
      <w:proofErr w:type="spellEnd"/>
      <w:r>
        <w:rPr>
          <w:rFonts w:ascii="Times New Roman" w:eastAsia="Times New Roman" w:hAnsi="Times New Roman" w:cs="Times New Roman"/>
          <w:sz w:val="24"/>
          <w:szCs w:val="24"/>
        </w:rPr>
        <w:t xml:space="preserve"> would have to inactive approximately 99% of its activity to be effective (Table 1).</w:t>
      </w:r>
    </w:p>
    <w:p w14:paraId="2BCF4AE9" w14:textId="77777777" w:rsidR="00B133F1" w:rsidRDefault="00B133F1">
      <w:pPr>
        <w:spacing w:line="360" w:lineRule="auto"/>
        <w:jc w:val="both"/>
        <w:rPr>
          <w:rFonts w:ascii="Times New Roman" w:eastAsia="Times New Roman" w:hAnsi="Times New Roman" w:cs="Times New Roman"/>
          <w:sz w:val="24"/>
          <w:szCs w:val="24"/>
        </w:rPr>
      </w:pPr>
      <w:bookmarkStart w:id="4" w:name="_heading=h.7fa5hructnew" w:colFirst="0" w:colLast="0"/>
      <w:bookmarkEnd w:id="4"/>
    </w:p>
    <w:p w14:paraId="4A79A416" w14:textId="77777777" w:rsidR="00B133F1" w:rsidRDefault="00246F3C">
      <w:pPr>
        <w:spacing w:line="360" w:lineRule="auto"/>
        <w:jc w:val="both"/>
        <w:rPr>
          <w:rFonts w:ascii="Times New Roman" w:eastAsia="Times New Roman" w:hAnsi="Times New Roman" w:cs="Times New Roman"/>
          <w:sz w:val="24"/>
          <w:szCs w:val="24"/>
        </w:rPr>
      </w:pPr>
      <w:bookmarkStart w:id="5" w:name="_heading=h.4scsrdkhjqoy" w:colFirst="0" w:colLast="0"/>
      <w:bookmarkEnd w:id="5"/>
      <w:r>
        <w:rPr>
          <w:rFonts w:ascii="Times New Roman" w:eastAsia="Times New Roman" w:hAnsi="Times New Roman" w:cs="Times New Roman"/>
          <w:sz w:val="24"/>
          <w:szCs w:val="24"/>
        </w:rPr>
        <w:lastRenderedPageBreak/>
        <w:t xml:space="preserve">That so little is known about vulnerability of essential proteins to incomplete depletion is in part due to the difficulties we and others have experienced in constructing phenotypically well-regulated conditional </w:t>
      </w:r>
      <w:r>
        <w:rPr>
          <w:rFonts w:ascii="Times New Roman" w:eastAsia="Times New Roman" w:hAnsi="Times New Roman" w:cs="Times New Roman"/>
          <w:i/>
          <w:sz w:val="24"/>
          <w:szCs w:val="24"/>
        </w:rPr>
        <w:t>Mtb</w:t>
      </w:r>
      <w:r>
        <w:rPr>
          <w:rFonts w:ascii="Times New Roman" w:eastAsia="Times New Roman" w:hAnsi="Times New Roman" w:cs="Times New Roman"/>
          <w:sz w:val="24"/>
          <w:szCs w:val="24"/>
        </w:rPr>
        <w:t xml:space="preserve"> knockdown mutants. Here, we overcame a key technical hurdle associated with evaluating a potential drug target </w:t>
      </w:r>
      <w:r>
        <w:rPr>
          <w:rFonts w:ascii="Times New Roman" w:eastAsia="Times New Roman" w:hAnsi="Times New Roman" w:cs="Times New Roman"/>
          <w:i/>
          <w:sz w:val="24"/>
          <w:szCs w:val="24"/>
        </w:rPr>
        <w:t>in vitro</w:t>
      </w:r>
      <w:r>
        <w:rPr>
          <w:rFonts w:ascii="Times New Roman" w:eastAsia="Times New Roman" w:hAnsi="Times New Roman" w:cs="Times New Roman"/>
          <w:sz w:val="24"/>
          <w:szCs w:val="24"/>
        </w:rPr>
        <w:t xml:space="preserve"> and in mice: the leakiness of transcriptional regulatory systems, which can often prevent efficient silencing of proteins required only in small amounts, for which we developed a novel translational regulatory strategy. This may provide a generally applicable approach that will enable vulnerability to be added as a parameter of target validation. Such information should help to further focus target-based drug discovery efforts on pathways and enzymes that are essential under a variety of conditions and are susceptible to incomplete inhibition.</w:t>
      </w:r>
    </w:p>
    <w:p w14:paraId="3798B8DC" w14:textId="77777777" w:rsidR="00B133F1" w:rsidRDefault="00246F3C">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studies thus establish that </w:t>
      </w:r>
      <w:r>
        <w:rPr>
          <w:rFonts w:ascii="Times New Roman" w:eastAsia="Times New Roman" w:hAnsi="Times New Roman" w:cs="Times New Roman"/>
          <w:i/>
          <w:sz w:val="24"/>
          <w:szCs w:val="24"/>
        </w:rPr>
        <w:t xml:space="preserve">de novo </w:t>
      </w:r>
      <w:r>
        <w:rPr>
          <w:rFonts w:ascii="Times New Roman" w:eastAsia="Times New Roman" w:hAnsi="Times New Roman" w:cs="Times New Roman"/>
          <w:sz w:val="24"/>
          <w:szCs w:val="24"/>
        </w:rPr>
        <w:t xml:space="preserve">biotin synthesis is essential for </w:t>
      </w:r>
      <w:r>
        <w:rPr>
          <w:rFonts w:ascii="Times New Roman" w:eastAsia="Times New Roman" w:hAnsi="Times New Roman" w:cs="Times New Roman"/>
          <w:i/>
          <w:sz w:val="24"/>
          <w:szCs w:val="24"/>
        </w:rPr>
        <w:t>Mtb</w:t>
      </w:r>
      <w:r>
        <w:rPr>
          <w:rFonts w:ascii="Times New Roman" w:eastAsia="Times New Roman" w:hAnsi="Times New Roman" w:cs="Times New Roman"/>
          <w:sz w:val="24"/>
          <w:szCs w:val="24"/>
        </w:rPr>
        <w:t xml:space="preserve"> to establish and maintain a chronic infection in a murine model of TB. Moreover, these studies provide an experimental strategy to systematically rank the </w:t>
      </w:r>
      <w:r>
        <w:rPr>
          <w:rFonts w:ascii="Times New Roman" w:eastAsia="Times New Roman" w:hAnsi="Times New Roman" w:cs="Times New Roman"/>
          <w:i/>
          <w:sz w:val="24"/>
          <w:szCs w:val="24"/>
        </w:rPr>
        <w:t xml:space="preserve">in vivo </w:t>
      </w:r>
      <w:r>
        <w:rPr>
          <w:rFonts w:ascii="Times New Roman" w:eastAsia="Times New Roman" w:hAnsi="Times New Roman" w:cs="Times New Roman"/>
          <w:sz w:val="24"/>
          <w:szCs w:val="24"/>
        </w:rPr>
        <w:t xml:space="preserve">value of potential drug targets in </w:t>
      </w:r>
      <w:r>
        <w:rPr>
          <w:rFonts w:ascii="Times New Roman" w:eastAsia="Times New Roman" w:hAnsi="Times New Roman" w:cs="Times New Roman"/>
          <w:i/>
          <w:sz w:val="24"/>
          <w:szCs w:val="24"/>
        </w:rPr>
        <w:t>Mtb</w:t>
      </w:r>
      <w:r>
        <w:rPr>
          <w:rFonts w:ascii="Times New Roman" w:eastAsia="Times New Roman" w:hAnsi="Times New Roman" w:cs="Times New Roman"/>
          <w:sz w:val="24"/>
          <w:szCs w:val="24"/>
        </w:rPr>
        <w:t xml:space="preserve"> and other pathogens.</w:t>
      </w:r>
    </w:p>
    <w:p w14:paraId="73485588" w14:textId="6D7BD96F" w:rsidR="00B133F1" w:rsidRDefault="00246F3C">
      <w:pPr>
        <w:spacing w:line="360" w:lineRule="auto"/>
        <w:jc w:val="both"/>
        <w:rPr>
          <w:rFonts w:ascii="Times New Roman" w:eastAsia="Times New Roman" w:hAnsi="Times New Roman" w:cs="Times New Roman"/>
          <w:b/>
          <w:sz w:val="24"/>
          <w:szCs w:val="24"/>
        </w:rPr>
      </w:pPr>
      <w:bookmarkStart w:id="6" w:name="_heading=h.o7689slf595j" w:colFirst="0" w:colLast="0"/>
      <w:bookmarkEnd w:id="6"/>
      <w:r>
        <w:rPr>
          <w:noProof/>
        </w:rPr>
        <w:lastRenderedPageBreak/>
        <w:drawing>
          <wp:anchor distT="114300" distB="114300" distL="114300" distR="114300" simplePos="0" relativeHeight="251658240" behindDoc="0" locked="0" layoutInCell="1" hidden="0" allowOverlap="1" wp14:anchorId="71D98760" wp14:editId="412B6A68">
            <wp:simplePos x="0" y="0"/>
            <wp:positionH relativeFrom="column">
              <wp:posOffset>19051</wp:posOffset>
            </wp:positionH>
            <wp:positionV relativeFrom="paragraph">
              <wp:posOffset>226033</wp:posOffset>
            </wp:positionV>
            <wp:extent cx="2525716" cy="5079392"/>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525716" cy="5079392"/>
                    </a:xfrm>
                    <a:prstGeom prst="rect">
                      <a:avLst/>
                    </a:prstGeom>
                    <a:ln/>
                  </pic:spPr>
                </pic:pic>
              </a:graphicData>
            </a:graphic>
          </wp:anchor>
        </w:drawing>
      </w:r>
      <w:bookmarkStart w:id="7" w:name="_heading=h.4joz91g8ojh1" w:colFirst="0" w:colLast="0"/>
      <w:bookmarkEnd w:id="7"/>
      <w:r>
        <w:rPr>
          <w:rFonts w:ascii="Times New Roman" w:eastAsia="Times New Roman" w:hAnsi="Times New Roman" w:cs="Times New Roman"/>
          <w:b/>
          <w:sz w:val="24"/>
          <w:szCs w:val="24"/>
        </w:rPr>
        <w:t xml:space="preserve">Figure 1. Growth and survival of </w:t>
      </w:r>
      <w:r>
        <w:rPr>
          <w:rFonts w:ascii="Times New Roman" w:eastAsia="Times New Roman" w:hAnsi="Times New Roman" w:cs="Times New Roman"/>
          <w:b/>
          <w:i/>
          <w:sz w:val="24"/>
          <w:szCs w:val="24"/>
        </w:rPr>
        <w:t xml:space="preserve">Mtb </w:t>
      </w:r>
      <w:proofErr w:type="spellStart"/>
      <w:r>
        <w:rPr>
          <w:rFonts w:ascii="Times New Roman" w:eastAsia="Times New Roman" w:hAnsi="Times New Roman" w:cs="Times New Roman"/>
          <w:i/>
          <w:sz w:val="24"/>
          <w:szCs w:val="24"/>
        </w:rPr>
        <w:t>Δ</w:t>
      </w:r>
      <w:r>
        <w:rPr>
          <w:rFonts w:ascii="Times New Roman" w:eastAsia="Times New Roman" w:hAnsi="Times New Roman" w:cs="Times New Roman"/>
          <w:b/>
          <w:i/>
          <w:sz w:val="24"/>
          <w:szCs w:val="24"/>
        </w:rPr>
        <w:t>bioA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TetON</w:t>
      </w:r>
      <w:proofErr w:type="spellEnd"/>
      <w:r>
        <w:rPr>
          <w:rFonts w:ascii="Times New Roman" w:eastAsia="Times New Roman" w:hAnsi="Times New Roman" w:cs="Times New Roman"/>
          <w:b/>
          <w:sz w:val="24"/>
          <w:szCs w:val="24"/>
        </w:rPr>
        <w:t xml:space="preserve"> in mouse lungs and spleens.</w:t>
      </w:r>
    </w:p>
    <w:p w14:paraId="39063220" w14:textId="77777777" w:rsidR="00B133F1" w:rsidRDefault="00246F3C">
      <w:pPr>
        <w:spacing w:line="360" w:lineRule="auto"/>
        <w:jc w:val="both"/>
        <w:rPr>
          <w:rFonts w:ascii="Times New Roman" w:eastAsia="Times New Roman" w:hAnsi="Times New Roman" w:cs="Times New Roman"/>
          <w:sz w:val="24"/>
          <w:szCs w:val="24"/>
        </w:rPr>
      </w:pPr>
      <w:bookmarkStart w:id="8" w:name="_heading=h.ygx03hxda498" w:colFirst="0" w:colLast="0"/>
      <w:bookmarkEnd w:id="8"/>
      <w:r>
        <w:rPr>
          <w:rFonts w:ascii="Times New Roman" w:eastAsia="Times New Roman" w:hAnsi="Times New Roman" w:cs="Times New Roman"/>
          <w:sz w:val="24"/>
          <w:szCs w:val="24"/>
        </w:rPr>
        <w:t xml:space="preserve">(A) Growth and persistence in lungs. Squares represent data for </w:t>
      </w:r>
      <w:proofErr w:type="spellStart"/>
      <w:r>
        <w:rPr>
          <w:rFonts w:ascii="Times New Roman" w:eastAsia="Times New Roman" w:hAnsi="Times New Roman" w:cs="Times New Roman"/>
          <w:sz w:val="24"/>
          <w:szCs w:val="24"/>
        </w:rPr>
        <w:t>wt</w:t>
      </w:r>
      <w:proofErr w:type="spellEnd"/>
      <w:r>
        <w:rPr>
          <w:rFonts w:ascii="Times New Roman" w:eastAsia="Times New Roman" w:hAnsi="Times New Roman" w:cs="Times New Roman"/>
          <w:sz w:val="24"/>
          <w:szCs w:val="24"/>
        </w:rPr>
        <w:t xml:space="preserve">, circles represent data for </w:t>
      </w:r>
      <w:proofErr w:type="spellStart"/>
      <w:r>
        <w:rPr>
          <w:rFonts w:ascii="Times New Roman" w:eastAsia="Times New Roman" w:hAnsi="Times New Roman" w:cs="Times New Roman"/>
          <w:i/>
          <w:sz w:val="24"/>
          <w:szCs w:val="24"/>
        </w:rPr>
        <w:t>ΔbioA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TetON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Mtb </w:t>
      </w:r>
      <w:proofErr w:type="spellStart"/>
      <w:r>
        <w:rPr>
          <w:rFonts w:ascii="Times New Roman" w:eastAsia="Times New Roman" w:hAnsi="Times New Roman" w:cs="Times New Roman"/>
          <w:i/>
          <w:sz w:val="24"/>
          <w:szCs w:val="24"/>
        </w:rPr>
        <w:t>ΔbioA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TetON</w:t>
      </w:r>
      <w:proofErr w:type="spellEnd"/>
      <w:r>
        <w:rPr>
          <w:rFonts w:ascii="Times New Roman" w:eastAsia="Times New Roman" w:hAnsi="Times New Roman" w:cs="Times New Roman"/>
          <w:sz w:val="24"/>
          <w:szCs w:val="24"/>
        </w:rPr>
        <w:t xml:space="preserve"> was analyzed in mice that did not receive doxy (red circles), received doxy from day 1 to day 10 (blue circles), from day 1 to day 28 (purple circles), from day 1 to 56 (brown circles) or received doxy throughout the infection (black circles). Data are averages from at least four mice and two independent infections; error bars represent the standard error of the mean. The limit of detection was 4 CFUs per lung. Dotted lines end in data points for which most of the lungs contained 4 or fewer CFUs. The red asterisk indicates that no CFUs were recovered from any of the no-doxy mice 112 days post infection. (B) Persistence in spleens. The blue asterisk indicates that on day 224 no CFUs were recovered from any of the mice that received doxy up to day 10. Otherwise as described for (A).</w:t>
      </w:r>
    </w:p>
    <w:p w14:paraId="3DBDC8DF" w14:textId="77777777" w:rsidR="00B133F1" w:rsidRDefault="00B133F1">
      <w:pPr>
        <w:spacing w:line="360" w:lineRule="auto"/>
        <w:jc w:val="both"/>
        <w:rPr>
          <w:rFonts w:ascii="Times New Roman" w:eastAsia="Times New Roman" w:hAnsi="Times New Roman" w:cs="Times New Roman"/>
          <w:sz w:val="24"/>
          <w:szCs w:val="24"/>
        </w:rPr>
      </w:pPr>
      <w:bookmarkStart w:id="9" w:name="_heading=h.s8k9abudy3l0" w:colFirst="0" w:colLast="0"/>
      <w:bookmarkEnd w:id="9"/>
    </w:p>
    <w:p w14:paraId="1AA6654A" w14:textId="77777777" w:rsidR="00246F3C" w:rsidRDefault="00246F3C">
      <w:pPr>
        <w:rPr>
          <w:rFonts w:ascii="Times New Roman" w:eastAsia="Times New Roman" w:hAnsi="Times New Roman" w:cs="Times New Roman"/>
          <w:b/>
          <w:sz w:val="24"/>
          <w:szCs w:val="24"/>
        </w:rPr>
      </w:pPr>
      <w:bookmarkStart w:id="10" w:name="_heading=h.ls473rllifud" w:colFirst="0" w:colLast="0"/>
      <w:bookmarkEnd w:id="10"/>
      <w:r>
        <w:rPr>
          <w:rFonts w:ascii="Times New Roman" w:eastAsia="Times New Roman" w:hAnsi="Times New Roman" w:cs="Times New Roman"/>
          <w:b/>
          <w:sz w:val="24"/>
          <w:szCs w:val="24"/>
        </w:rPr>
        <w:br w:type="page"/>
      </w:r>
    </w:p>
    <w:p w14:paraId="34CFE549" w14:textId="3D1646C9" w:rsidR="00B133F1" w:rsidRDefault="00246F3C">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1. Relative </w:t>
      </w:r>
      <w:proofErr w:type="spellStart"/>
      <w:r>
        <w:rPr>
          <w:rFonts w:ascii="Times New Roman" w:eastAsia="Times New Roman" w:hAnsi="Times New Roman" w:cs="Times New Roman"/>
          <w:b/>
          <w:sz w:val="24"/>
          <w:szCs w:val="24"/>
        </w:rPr>
        <w:t>BioA</w:t>
      </w:r>
      <w:proofErr w:type="spellEnd"/>
      <w:r>
        <w:rPr>
          <w:rFonts w:ascii="Times New Roman" w:eastAsia="Times New Roman" w:hAnsi="Times New Roman" w:cs="Times New Roman"/>
          <w:b/>
          <w:sz w:val="24"/>
          <w:szCs w:val="24"/>
        </w:rPr>
        <w:t xml:space="preserve"> protein levels and activities</w:t>
      </w:r>
    </w:p>
    <w:p w14:paraId="269BE5EE" w14:textId="40F67267" w:rsidR="00B133F1" w:rsidRDefault="00246F3C">
      <w:pPr>
        <w:spacing w:before="240" w:after="240" w:line="360" w:lineRule="auto"/>
        <w:jc w:val="both"/>
        <w:rPr>
          <w:rFonts w:ascii="Times New Roman" w:eastAsia="Times New Roman" w:hAnsi="Times New Roman" w:cs="Times New Roman"/>
          <w:b/>
          <w:sz w:val="24"/>
          <w:szCs w:val="24"/>
        </w:rPr>
      </w:pPr>
      <w:bookmarkStart w:id="11" w:name="_heading=h.rooxcqluyb7o" w:colFirst="0" w:colLast="0"/>
      <w:bookmarkEnd w:id="11"/>
      <w:r w:rsidRPr="00246F3C">
        <w:rPr>
          <w:rFonts w:ascii="Times New Roman" w:eastAsia="Times New Roman" w:hAnsi="Times New Roman" w:cs="Times New Roman"/>
          <w:b/>
          <w:noProof/>
          <w:sz w:val="24"/>
          <w:szCs w:val="24"/>
        </w:rPr>
        <w:drawing>
          <wp:inline distT="0" distB="0" distL="0" distR="0" wp14:anchorId="498FA35F" wp14:editId="3EF017C6">
            <wp:extent cx="4498288" cy="2164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09295" cy="2169376"/>
                    </a:xfrm>
                    <a:prstGeom prst="rect">
                      <a:avLst/>
                    </a:prstGeom>
                  </pic:spPr>
                </pic:pic>
              </a:graphicData>
            </a:graphic>
          </wp:inline>
        </w:drawing>
      </w:r>
    </w:p>
    <w:p w14:paraId="45D0AF15" w14:textId="77777777" w:rsidR="00B133F1" w:rsidRDefault="00B133F1">
      <w:pPr>
        <w:spacing w:line="360" w:lineRule="auto"/>
        <w:jc w:val="both"/>
        <w:rPr>
          <w:rFonts w:ascii="Times New Roman" w:eastAsia="Times New Roman" w:hAnsi="Times New Roman" w:cs="Times New Roman"/>
          <w:sz w:val="24"/>
          <w:szCs w:val="24"/>
        </w:rPr>
      </w:pPr>
      <w:bookmarkStart w:id="12" w:name="_heading=h.aj08nm9euzzm" w:colFirst="0" w:colLast="0"/>
      <w:bookmarkEnd w:id="12"/>
    </w:p>
    <w:sectPr w:rsidR="00B133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F1"/>
    <w:rsid w:val="00246F3C"/>
    <w:rsid w:val="006F5445"/>
    <w:rsid w:val="00796F09"/>
    <w:rsid w:val="00B133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A06D"/>
  <w15:docId w15:val="{1B1F8AA4-4D53-47FB-84FC-B9BF9060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1A"/>
    <w:rPr>
      <w:rFonts w:eastAsiaTheme="minorHAnsi"/>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990F1A"/>
    <w:rPr>
      <w:sz w:val="16"/>
      <w:szCs w:val="16"/>
    </w:rPr>
  </w:style>
  <w:style w:type="paragraph" w:styleId="CommentText">
    <w:name w:val="annotation text"/>
    <w:basedOn w:val="Normal"/>
    <w:link w:val="CommentTextChar"/>
    <w:uiPriority w:val="99"/>
    <w:semiHidden/>
    <w:unhideWhenUsed/>
    <w:rsid w:val="00990F1A"/>
    <w:pPr>
      <w:spacing w:line="240" w:lineRule="auto"/>
    </w:pPr>
    <w:rPr>
      <w:sz w:val="20"/>
      <w:szCs w:val="20"/>
    </w:rPr>
  </w:style>
  <w:style w:type="character" w:customStyle="1" w:styleId="CommentTextChar">
    <w:name w:val="Comment Text Char"/>
    <w:basedOn w:val="DefaultParagraphFont"/>
    <w:link w:val="CommentText"/>
    <w:uiPriority w:val="99"/>
    <w:semiHidden/>
    <w:rsid w:val="00990F1A"/>
    <w:rPr>
      <w:rFonts w:eastAsiaTheme="minorHAnsi"/>
      <w:sz w:val="20"/>
      <w:szCs w:val="20"/>
      <w:lang w:eastAsia="en-US"/>
    </w:rPr>
  </w:style>
  <w:style w:type="paragraph" w:styleId="BalloonText">
    <w:name w:val="Balloon Text"/>
    <w:basedOn w:val="Normal"/>
    <w:link w:val="BalloonTextChar"/>
    <w:uiPriority w:val="99"/>
    <w:semiHidden/>
    <w:unhideWhenUsed/>
    <w:rsid w:val="00990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F1A"/>
    <w:rPr>
      <w:rFonts w:ascii="Segoe UI" w:eastAsiaTheme="minorHAnsi" w:hAnsi="Segoe UI" w:cs="Segoe UI"/>
      <w:sz w:val="18"/>
      <w:szCs w:val="18"/>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L/dk8qaXzo13qqBnwu9x4ut8Dg==">AMUW2mXuBW+DynjpXdHJj0yQLuRNV9IyVwd05lNKJPWzyy1ClnngGFRw4qCbikhwzdoOqbaASMh/S0YQ3BCLRO/XYsxQXon9F79j7F4p5hPxL0WgBsKFHy55WtFxC7VMq7edr/SHeqOzuz/B+4SW08VbETaJ1crYuxgdC1GiLix3SatXTaCI2TnrcUFhGGUFhUEY6lbyj2Vl4pTb3LF37ZGbICYvDb4TIL5nAmgKVY+TRctItNhs+U7Tyxhp/4GlOliGgEO9cGHH5dHT+h8r92B0UmTLA2c4jx2ek5f3ZzzMs/B6ymT1VBfwrV8QV+0Xdn/XD4fuEraH66j6hdxnnECjaeGvJy8DacCm6ZlbDnnxzskdBMiPGncu71jzGhutTQetGaszamUiGcuj9+3c634LJEhmI43z6UNIMSbJz2G5tIH+4I4ay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Sae Woong Park</cp:lastModifiedBy>
  <cp:revision>2</cp:revision>
  <dcterms:created xsi:type="dcterms:W3CDTF">2022-01-19T21:41:00Z</dcterms:created>
  <dcterms:modified xsi:type="dcterms:W3CDTF">2022-01-19T21:41:00Z</dcterms:modified>
</cp:coreProperties>
</file>